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1F2" w:rsidRDefault="0006793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911F2" w:rsidRDefault="0006793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1.014158</w:t>
      </w:r>
    </w:p>
    <w:p w:rsidR="000911F2" w:rsidRDefault="0006793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1390/QĐ-BXD</w:t>
      </w:r>
    </w:p>
    <w:p w:rsidR="000911F2" w:rsidRDefault="0006793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Phê duyệt quy hoạch, điều chỉnh quy hoạch đô thị và nông thôn do nhà đầu tư đã được lựa  chọn để thực hiện dự án đầu tư tổ chức lập</w:t>
      </w:r>
    </w:p>
    <w:p w:rsidR="000911F2" w:rsidRDefault="0006793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 xml:space="preserve">Cấp Tỉnh, Cấp Xã, </w:t>
      </w:r>
      <w:r>
        <w:rPr>
          <w:rFonts w:ascii="Times New Roman" w:eastAsia="Times New Roman" w:hAnsi="Times New Roman" w:cs="Times New Roman"/>
          <w:sz w:val="26"/>
        </w:rPr>
        <w:t>Cơ quan khác</w:t>
      </w:r>
    </w:p>
    <w:p w:rsidR="000911F2" w:rsidRDefault="0006793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911F2" w:rsidRDefault="0006793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0911F2" w:rsidRDefault="00067932">
      <w:pPr>
        <w:spacing w:after="0" w:line="276" w:lineRule="auto"/>
        <w:jc w:val="both"/>
      </w:pPr>
      <w:r>
        <w:rPr>
          <w:rFonts w:ascii="Times New Roman" w:eastAsia="Times New Roman" w:hAnsi="Times New Roman" w:cs="Times New Roman"/>
          <w:b/>
          <w:sz w:val="26"/>
        </w:rPr>
        <w:t xml:space="preserve">Trình tự thực hiện: </w:t>
      </w:r>
    </w:p>
    <w:p w:rsidR="000911F2" w:rsidRDefault="00067932">
      <w:pPr>
        <w:shd w:val="clear" w:color="auto" w:fill="F2F6F9"/>
        <w:spacing w:before="120" w:after="0" w:line="276" w:lineRule="auto"/>
        <w:jc w:val="both"/>
      </w:pPr>
      <w:r>
        <w:rPr>
          <w:rFonts w:ascii="Times New Roman" w:eastAsia="Times New Roman" w:hAnsi="Times New Roman" w:cs="Times New Roman"/>
          <w:b/>
          <w:sz w:val="26"/>
        </w:rPr>
        <w:t>a) Đối với quy hoạch, điều chỉnh quy hoạch đô thị và nông thôn</w:t>
      </w:r>
    </w:p>
    <w:p w:rsidR="000911F2" w:rsidRDefault="00067932">
      <w:pPr>
        <w:spacing w:after="0" w:line="276" w:lineRule="auto"/>
        <w:jc w:val="both"/>
      </w:pPr>
      <w:r>
        <w:rPr>
          <w:rFonts w:ascii="Times New Roman" w:eastAsia="Times New Roman" w:hAnsi="Times New Roman" w:cs="Times New Roman"/>
          <w:sz w:val="26"/>
        </w:rPr>
        <w:t>- Nhà đầu tư nộp hồ sơ quy hoạch hoặc hồ sơ điều chỉnh quy hoạ</w:t>
      </w:r>
      <w:r>
        <w:rPr>
          <w:rFonts w:ascii="Times New Roman" w:eastAsia="Times New Roman" w:hAnsi="Times New Roman" w:cs="Times New Roman"/>
          <w:sz w:val="26"/>
        </w:rPr>
        <w:t>ch đã được thẩm định đến cấp phê duyệt quy hoạch. - Cấp phê duyệt căn cứ Tờ trình, hồ sơ quy hoạch hoặc hồ sơ điều chỉnh quy hoạch và báo cáo thẩm định để xem xét, phê duyệt quy hoạch hoặc phê duyệt điều chỉnh quy hoạch đô thị và nông thôn. - Thuyết minh v</w:t>
      </w:r>
      <w:r>
        <w:rPr>
          <w:rFonts w:ascii="Times New Roman" w:eastAsia="Times New Roman" w:hAnsi="Times New Roman" w:cs="Times New Roman"/>
          <w:sz w:val="26"/>
        </w:rPr>
        <w:t>à bản vẽ trong hồ sơ quy hoạch hoặc hồ sơ điều chỉnh quy hoạch đô thị và nông thôn sau khi được phê duyệt được cơ quan thẩm định kiểm tra, đóng dấu xác nhận.</w:t>
      </w:r>
    </w:p>
    <w:p w:rsidR="000911F2" w:rsidRDefault="00067932">
      <w:pPr>
        <w:shd w:val="clear" w:color="auto" w:fill="F2F6F9"/>
        <w:spacing w:before="120" w:after="0" w:line="276" w:lineRule="auto"/>
        <w:jc w:val="both"/>
      </w:pPr>
      <w:r>
        <w:rPr>
          <w:rFonts w:ascii="Times New Roman" w:eastAsia="Times New Roman" w:hAnsi="Times New Roman" w:cs="Times New Roman"/>
          <w:b/>
          <w:sz w:val="26"/>
        </w:rPr>
        <w:t>b) Đối với quy hoạch tổng mặt bằng (quy hoạch chi tiết được lập theo quy trình rút gọn):</w:t>
      </w:r>
    </w:p>
    <w:p w:rsidR="000911F2" w:rsidRDefault="00067932">
      <w:pPr>
        <w:spacing w:after="0" w:line="276" w:lineRule="auto"/>
        <w:jc w:val="both"/>
      </w:pPr>
      <w:r>
        <w:rPr>
          <w:rFonts w:ascii="Times New Roman" w:eastAsia="Times New Roman" w:hAnsi="Times New Roman" w:cs="Times New Roman"/>
          <w:sz w:val="26"/>
        </w:rPr>
        <w:t>- Nhà đầu</w:t>
      </w:r>
      <w:r>
        <w:rPr>
          <w:rFonts w:ascii="Times New Roman" w:eastAsia="Times New Roman" w:hAnsi="Times New Roman" w:cs="Times New Roman"/>
          <w:sz w:val="26"/>
        </w:rPr>
        <w:t xml:space="preserve"> tư gửi văn bản kèm theo hồ sơ quy hoạch tổng mặt bằng đến cấp phê duyệt quy hoạch chi tiết hoặc cơ quan được phân cấp, ủy quyền để đề nghị chấp thuận; - Trước khi gửi hồ sơ đề nghị chấp thuận quy hoạch tổng mặt bằng, nhà đầu tư phải thực hiện việc lấy ý k</w:t>
      </w:r>
      <w:r>
        <w:rPr>
          <w:rFonts w:ascii="Times New Roman" w:eastAsia="Times New Roman" w:hAnsi="Times New Roman" w:cs="Times New Roman"/>
          <w:sz w:val="26"/>
        </w:rPr>
        <w:t>iến cộng đồng dân cư có liên quan (nếu có) về nội dung quy hoạch; - Cấp phê duyệt quy hoạch chi tiết hoặc cơ quan được phân cấp, ủy quyền xem xét, ban hành văn bản chấp thuận quy hoạch tổng mặt bằng.</w:t>
      </w:r>
    </w:p>
    <w:p w:rsidR="000911F2" w:rsidRDefault="0006793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70"/>
        <w:gridCol w:w="914"/>
        <w:gridCol w:w="2986"/>
        <w:gridCol w:w="4641"/>
      </w:tblGrid>
      <w:tr w:rsidR="000911F2">
        <w:tblPrEx>
          <w:tblCellMar>
            <w:top w:w="0" w:type="dxa"/>
            <w:bottom w:w="0" w:type="dxa"/>
          </w:tblCellMar>
        </w:tblPrEx>
        <w:tc>
          <w:tcPr>
            <w:tcW w:w="15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Hình thức nộp</w:t>
            </w:r>
          </w:p>
        </w:tc>
        <w:tc>
          <w:tcPr>
            <w:tcW w:w="2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Thời hạn giải quyế</w:t>
            </w:r>
            <w:r>
              <w:rPr>
                <w:rFonts w:ascii="Times New Roman" w:eastAsia="Times New Roman" w:hAnsi="Times New Roman" w:cs="Times New Roman"/>
                <w:b/>
                <w:sz w:val="26"/>
              </w:rPr>
              <w:t>t</w:t>
            </w:r>
          </w:p>
        </w:tc>
        <w:tc>
          <w:tcPr>
            <w:tcW w:w="35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Phí, lệ phí</w:t>
            </w:r>
          </w:p>
        </w:tc>
        <w:tc>
          <w:tcPr>
            <w:tcW w:w="3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Mô tả</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Trực tiếp</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15 Ngày</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Phí :  Đồng (Theo quy định của Luật phí và lệ phí và các văn bản quy phạm pháp luật hướng dẫn Luật phí và lệ phí.)</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xml:space="preserve">Đối với quy hoạch, điều chỉnh quy hoạch: Ủy ban nhân dân cấp tỉnh quy định trên cơ sở quy trình </w:t>
            </w:r>
            <w:r>
              <w:rPr>
                <w:rFonts w:ascii="Times New Roman" w:eastAsia="Times New Roman" w:hAnsi="Times New Roman" w:cs="Times New Roman"/>
                <w:sz w:val="26"/>
              </w:rPr>
              <w:t>xử lý nội bộ của cấp phê duyệt và không quá 15 ngày kể từ ngày nhận được đầy đủ hồ sơ hợp lệ.</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lastRenderedPageBreak/>
              <w:t>Trực tiếp</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lastRenderedPageBreak/>
              <w:t>15 Ngày</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lastRenderedPageBreak/>
              <w:t>Phí :  Đồng (Theo quy định của Luật phí và lệ phí và các văn bản quy phạm pháp luật hướng dẫn Luật phí và lệ phí.)</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lastRenderedPageBreak/>
              <w:t xml:space="preserve">Đối với quy hoạch tổng </w:t>
            </w:r>
            <w:r>
              <w:rPr>
                <w:rFonts w:ascii="Times New Roman" w:eastAsia="Times New Roman" w:hAnsi="Times New Roman" w:cs="Times New Roman"/>
                <w:sz w:val="26"/>
              </w:rPr>
              <w:t>mặt bằng: 15 ngày kể từ ngày nhận được đầy đủ hồ sơ hợp lệ.</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Trực tuyến</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15 Ngày</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Phí :  Đồng (Theo quy định của Luật phí và lệ phí và các văn bản quy phạm pháp luật hướng dẫn Luật phí và lệ phí.)</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xml:space="preserve">Đối với quy hoạch, điều chỉnh quy hoạch: Ủy ban nhân dân </w:t>
            </w:r>
            <w:r>
              <w:rPr>
                <w:rFonts w:ascii="Times New Roman" w:eastAsia="Times New Roman" w:hAnsi="Times New Roman" w:cs="Times New Roman"/>
                <w:sz w:val="26"/>
              </w:rPr>
              <w:t>cấp tỉnh quy định trên cơ sở quy trình xử lý nội bộ của cấp phê duyệt và không quá 15 ngày kể từ ngày nhận được đầy đủ hồ sơ hợp lệ.</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Trực tuyến</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15 Ngày</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Luật phí và lệ phí và các văn bản quy phạm pháp luật hướng dẫn Luật phí và lệ phí.)</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Đối với quy hoạch tổng mặt bằng: 15 ngày kể từ ngày nhận được đầy đủ hồ sơ hợp lệ.</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Dịch vụ bưu chính</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15 Ngày</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Phí :  Đồng (Theo quy định của Luật ph</w:t>
            </w:r>
            <w:r>
              <w:rPr>
                <w:rFonts w:ascii="Times New Roman" w:eastAsia="Times New Roman" w:hAnsi="Times New Roman" w:cs="Times New Roman"/>
                <w:sz w:val="26"/>
              </w:rPr>
              <w:t>í và lệ phí và các văn bản quy phạm pháp luật hướng dẫn Luật phí và lệ phí.)</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Đối với quy hoạch, điều chỉnh quy hoạch: Ủy ban nhân dân cấp tỉnh quy định trên cơ sở quy trình xử lý nội bộ của cấp phê duyệt và không quá 15 ngày kể từ ngày nhận được đầy đủ hồ</w:t>
            </w:r>
            <w:r>
              <w:rPr>
                <w:rFonts w:ascii="Times New Roman" w:eastAsia="Times New Roman" w:hAnsi="Times New Roman" w:cs="Times New Roman"/>
                <w:sz w:val="26"/>
              </w:rPr>
              <w:t xml:space="preserve"> sơ hợp lệ.</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Dịch vụ bưu chính</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15 Ngày</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Phí :  Đồng (Theo quy định của Luật phí và lệ phí và các văn bản quy phạm pháp luật hướng dẫn Luật phí và lệ phí.)</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Đối với quy hoạch tổng mặt bằng: 15 ngày kể từ ngày nhận được đầy đủ hồ sơ hợp lệ.</w:t>
            </w:r>
          </w:p>
        </w:tc>
      </w:tr>
    </w:tbl>
    <w:p w:rsidR="000911F2" w:rsidRDefault="00067932">
      <w:pPr>
        <w:spacing w:before="240" w:after="0" w:line="276" w:lineRule="auto"/>
        <w:jc w:val="both"/>
      </w:pPr>
      <w:r>
        <w:rPr>
          <w:rFonts w:ascii="Times New Roman" w:eastAsia="Times New Roman" w:hAnsi="Times New Roman" w:cs="Times New Roman"/>
          <w:b/>
          <w:sz w:val="26"/>
        </w:rPr>
        <w:t xml:space="preserve">Thành phần hồ sơ: </w:t>
      </w:r>
    </w:p>
    <w:p w:rsidR="000911F2" w:rsidRDefault="00067932">
      <w:pPr>
        <w:shd w:val="clear" w:color="auto" w:fill="F2F6F9"/>
        <w:spacing w:before="120" w:after="0" w:line="276" w:lineRule="auto"/>
        <w:jc w:val="both"/>
      </w:pPr>
      <w:r>
        <w:rPr>
          <w:rFonts w:ascii="Times New Roman" w:eastAsia="Times New Roman" w:hAnsi="Times New Roman" w:cs="Times New Roman"/>
          <w:b/>
          <w:sz w:val="26"/>
        </w:rPr>
        <w:t>a) Đối với quy hoạch, điều chỉnh quy hoạch đô thị và nông thôn:</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6"/>
        <w:gridCol w:w="862"/>
        <w:gridCol w:w="963"/>
      </w:tblGrid>
      <w:tr w:rsidR="000911F2">
        <w:tblPrEx>
          <w:tblCellMar>
            <w:top w:w="0" w:type="dxa"/>
            <w:bottom w:w="0" w:type="dxa"/>
          </w:tblCellMar>
        </w:tblPrEx>
        <w:tc>
          <w:tcPr>
            <w:tcW w:w="6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Tên giấy tờ</w:t>
            </w:r>
          </w:p>
        </w:tc>
        <w:tc>
          <w:tcPr>
            <w:tcW w:w="2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Mẫu đơn, tờ khai</w:t>
            </w:r>
          </w:p>
        </w:tc>
        <w:tc>
          <w:tcPr>
            <w:tcW w:w="2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Số lượng</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lastRenderedPageBreak/>
              <w:t>+ Tờ trình đề nghị phê duyệt quy hoạch hoặc điều chỉnh quy hoạch đô thị và nông thôn;</w:t>
            </w:r>
          </w:p>
        </w:tc>
        <w:tc>
          <w:tcPr>
            <w:tcW w:w="0" w:type="auto"/>
          </w:tcPr>
          <w:p w:rsidR="000911F2" w:rsidRDefault="000911F2"/>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xml:space="preserve">+ Báo cáo thẩm </w:t>
            </w:r>
            <w:r>
              <w:rPr>
                <w:rFonts w:ascii="Times New Roman" w:eastAsia="Times New Roman" w:hAnsi="Times New Roman" w:cs="Times New Roman"/>
                <w:sz w:val="26"/>
              </w:rPr>
              <w:t>định quy hoạch hoặc điều chỉnh quy hoạch đô thị và nông thôn của cơ quan thẩm định.</w:t>
            </w:r>
          </w:p>
        </w:tc>
        <w:tc>
          <w:tcPr>
            <w:tcW w:w="0" w:type="auto"/>
          </w:tcPr>
          <w:p w:rsidR="000911F2" w:rsidRDefault="000911F2"/>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Hồ sơ bản giấy: Thuyết minh; Dự thảo Quyết định của cấp có thẩm quyền phê duyệt quy hoạch; Các văn bản, tài liệu liên quan; Bản vẽ.</w:t>
            </w:r>
          </w:p>
        </w:tc>
        <w:tc>
          <w:tcPr>
            <w:tcW w:w="0" w:type="auto"/>
          </w:tcPr>
          <w:p w:rsidR="000911F2" w:rsidRDefault="000911F2"/>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Bản chín</w:t>
            </w:r>
            <w:r>
              <w:rPr>
                <w:rFonts w:ascii="Times New Roman" w:eastAsia="Times New Roman" w:hAnsi="Times New Roman" w:cs="Times New Roman"/>
                <w:sz w:val="26"/>
              </w:rPr>
              <w:t>h: 1</w:t>
            </w:r>
            <w:r>
              <w:rPr>
                <w:rFonts w:ascii="Times New Roman" w:eastAsia="Times New Roman" w:hAnsi="Times New Roman" w:cs="Times New Roman"/>
                <w:sz w:val="26"/>
              </w:rPr>
              <w:br/>
              <w:t>Bản sao: 0</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Hồ sơ điện tử: Cơ sở dữ liệu số cơ bản là các tệp tin (file) bản vẽ và văn bản được in ấn thành một phần của hồ sơ quy hoạch bản giấy; Cơ sở dữ liệu số pháp lý bao gồm các tệp tin (file) được số hóa, quét (scan) từ hồ sơ bằng bản giấy h</w:t>
            </w:r>
            <w:r>
              <w:rPr>
                <w:rFonts w:ascii="Times New Roman" w:eastAsia="Times New Roman" w:hAnsi="Times New Roman" w:cs="Times New Roman"/>
                <w:sz w:val="26"/>
              </w:rPr>
              <w:t>oặc chứng thực điện tử; Cơ sở dữ liệu số địa lý (GIS) quy hoạch đô thị và nông thôn bao gồm các tệp tin (file) được chuyển đổi thành dữ liệu địa lý từ cơ sở dữ liệu gốc.</w:t>
            </w:r>
          </w:p>
        </w:tc>
        <w:tc>
          <w:tcPr>
            <w:tcW w:w="0" w:type="auto"/>
          </w:tcPr>
          <w:p w:rsidR="000911F2" w:rsidRDefault="000911F2"/>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0911F2" w:rsidRDefault="00067932">
      <w:pPr>
        <w:shd w:val="clear" w:color="auto" w:fill="F2F6F9"/>
        <w:spacing w:before="120" w:after="0" w:line="276" w:lineRule="auto"/>
        <w:jc w:val="both"/>
      </w:pPr>
      <w:r>
        <w:rPr>
          <w:rFonts w:ascii="Times New Roman" w:eastAsia="Times New Roman" w:hAnsi="Times New Roman" w:cs="Times New Roman"/>
          <w:b/>
          <w:sz w:val="26"/>
        </w:rPr>
        <w:t>b) Đối với quy hoạch tổng mặt bằng (quy hoạch chi tiết được</w:t>
      </w:r>
      <w:r>
        <w:rPr>
          <w:rFonts w:ascii="Times New Roman" w:eastAsia="Times New Roman" w:hAnsi="Times New Roman" w:cs="Times New Roman"/>
          <w:b/>
          <w:sz w:val="26"/>
        </w:rPr>
        <w:t xml:space="preserve"> lập theo quy trình rút gọn):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911F2">
        <w:tblPrEx>
          <w:tblCellMar>
            <w:top w:w="0" w:type="dxa"/>
            <w:bottom w:w="0" w:type="dxa"/>
          </w:tblCellMar>
        </w:tblPrEx>
        <w:tc>
          <w:tcPr>
            <w:tcW w:w="6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Tên giấy tờ</w:t>
            </w:r>
          </w:p>
        </w:tc>
        <w:tc>
          <w:tcPr>
            <w:tcW w:w="2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Mẫu đơn, tờ khai</w:t>
            </w:r>
          </w:p>
        </w:tc>
        <w:tc>
          <w:tcPr>
            <w:tcW w:w="2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Số lượng</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Văn bản của nhà đầu tư gửi cấp phê duyệt quy hoạch chi tiết hoặc cơ quan được phân cấp, ủy quyền để đề nghị chấp thuận.</w:t>
            </w:r>
          </w:p>
        </w:tc>
        <w:tc>
          <w:tcPr>
            <w:tcW w:w="0" w:type="auto"/>
          </w:tcPr>
          <w:p w:rsidR="000911F2" w:rsidRDefault="000911F2"/>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xml:space="preserve">+ Hồ sơ bản giấy: Thuyết minh; </w:t>
            </w:r>
            <w:r>
              <w:rPr>
                <w:rFonts w:ascii="Times New Roman" w:eastAsia="Times New Roman" w:hAnsi="Times New Roman" w:cs="Times New Roman"/>
                <w:sz w:val="26"/>
              </w:rPr>
              <w:t>Các văn bản, tài liệu liên quan; Bản vẽ.</w:t>
            </w:r>
          </w:p>
        </w:tc>
        <w:tc>
          <w:tcPr>
            <w:tcW w:w="0" w:type="auto"/>
          </w:tcPr>
          <w:p w:rsidR="000911F2" w:rsidRDefault="000911F2"/>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Hồ sơ điện tử: Cơ sở dữ liệu số cơ bản là các tệp tin (file) bản vẽ và văn bản được in ấn thành một phần của hồ sơ quy hoạch tổng mặt bằng bản giấy; Cơ sở dữ liệu số pháp lý bao gồm các</w:t>
            </w:r>
            <w:r>
              <w:rPr>
                <w:rFonts w:ascii="Times New Roman" w:eastAsia="Times New Roman" w:hAnsi="Times New Roman" w:cs="Times New Roman"/>
                <w:sz w:val="26"/>
              </w:rPr>
              <w:t xml:space="preserve"> tệp tin (file) được số hóa, quét (scan) từ hồ sơ bằng bản giấy hoặc chứng thực điện tử; Cơ sở dữ liệu số địa lý (GIS) quy hoạch đô thị và nông thôn bao gồm các tệp tin (file) được chuyển đổi thành dữ liệu địa lý từ cơ sở dữ liệu gốc.</w:t>
            </w:r>
          </w:p>
        </w:tc>
        <w:tc>
          <w:tcPr>
            <w:tcW w:w="0" w:type="auto"/>
          </w:tcPr>
          <w:p w:rsidR="000911F2" w:rsidRDefault="000911F2"/>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w:t>
            </w:r>
            <w:r>
              <w:rPr>
                <w:rFonts w:ascii="Times New Roman" w:eastAsia="Times New Roman" w:hAnsi="Times New Roman" w:cs="Times New Roman"/>
                <w:sz w:val="26"/>
              </w:rPr>
              <w:t>o: 0</w:t>
            </w:r>
          </w:p>
        </w:tc>
      </w:tr>
    </w:tbl>
    <w:p w:rsidR="000911F2" w:rsidRDefault="0006793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0911F2" w:rsidRDefault="0006793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chức năng do Ủy ban nhân dân cấp tỉnh chỉ định, Ủy ban nhân dân cấp xã</w:t>
      </w:r>
    </w:p>
    <w:p w:rsidR="000911F2" w:rsidRDefault="00067932">
      <w:pPr>
        <w:spacing w:after="0" w:line="276" w:lineRule="auto"/>
        <w:jc w:val="both"/>
      </w:pPr>
      <w:r>
        <w:rPr>
          <w:rFonts w:ascii="Times New Roman" w:eastAsia="Times New Roman" w:hAnsi="Times New Roman" w:cs="Times New Roman"/>
          <w:b/>
          <w:sz w:val="26"/>
        </w:rPr>
        <w:t>Cơ q</w:t>
      </w:r>
      <w:r>
        <w:rPr>
          <w:rFonts w:ascii="Times New Roman" w:eastAsia="Times New Roman" w:hAnsi="Times New Roman" w:cs="Times New Roman"/>
          <w:b/>
          <w:sz w:val="26"/>
        </w:rPr>
        <w:t xml:space="preserve">uan có thẩm quyền: </w:t>
      </w:r>
      <w:r>
        <w:rPr>
          <w:rFonts w:ascii="Times New Roman" w:eastAsia="Times New Roman" w:hAnsi="Times New Roman" w:cs="Times New Roman"/>
          <w:sz w:val="26"/>
        </w:rPr>
        <w:t>Không có thông tin</w:t>
      </w:r>
    </w:p>
    <w:p w:rsidR="000911F2" w:rsidRDefault="0006793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911F2" w:rsidRDefault="0006793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911F2" w:rsidRDefault="0006793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911F2" w:rsidRDefault="0006793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phê duyệt quy hoạch, điều chỉnh quy hoạch; Văn bản chấp thuận quy ho</w:t>
      </w:r>
      <w:r>
        <w:rPr>
          <w:rFonts w:ascii="Times New Roman" w:eastAsia="Times New Roman" w:hAnsi="Times New Roman" w:cs="Times New Roman"/>
          <w:sz w:val="26"/>
        </w:rPr>
        <w:t>ạch tổng mặt bằng.</w:t>
      </w:r>
    </w:p>
    <w:p w:rsidR="000911F2" w:rsidRDefault="0006793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911F2">
        <w:tblPrEx>
          <w:tblCellMar>
            <w:top w:w="0" w:type="dxa"/>
            <w:bottom w:w="0" w:type="dxa"/>
          </w:tblCellMar>
        </w:tblPrEx>
        <w:tc>
          <w:tcPr>
            <w:tcW w:w="2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Số ký hiệu</w:t>
            </w:r>
          </w:p>
        </w:tc>
        <w:tc>
          <w:tcPr>
            <w:tcW w:w="35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Trích yếu</w:t>
            </w:r>
          </w:p>
        </w:tc>
        <w:tc>
          <w:tcPr>
            <w:tcW w:w="15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Ngày ban hành</w:t>
            </w:r>
          </w:p>
        </w:tc>
        <w:tc>
          <w:tcPr>
            <w:tcW w:w="3000" w:type="dxa"/>
          </w:tcPr>
          <w:p w:rsidR="000911F2" w:rsidRDefault="000911F2"/>
          <w:p w:rsidR="000911F2" w:rsidRDefault="00067932">
            <w:pPr>
              <w:spacing w:after="0" w:line="276" w:lineRule="auto"/>
              <w:jc w:val="center"/>
            </w:pPr>
            <w:r>
              <w:rPr>
                <w:rFonts w:ascii="Times New Roman" w:eastAsia="Times New Roman" w:hAnsi="Times New Roman" w:cs="Times New Roman"/>
                <w:b/>
                <w:sz w:val="26"/>
              </w:rPr>
              <w:t>Cơ quan ban hành</w:t>
            </w:r>
          </w:p>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145/2025/NĐ-CP</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QUY ĐỊNH VỀ PHÂN ĐỊNH THẨM QUYỀN CỦA CHÍNH QUYỀN ĐỊA PHƯƠNG 02 CẤP, PHÂN QUYỀN, PHÂN CẤP TRONG LĨNH VỰC QUY HOẠCH ĐÔ THỊ VÀ NÔNG THÔN</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12-06-2025</w:t>
            </w:r>
          </w:p>
        </w:tc>
        <w:tc>
          <w:tcPr>
            <w:tcW w:w="0" w:type="auto"/>
          </w:tcPr>
          <w:p w:rsidR="000911F2" w:rsidRDefault="000911F2"/>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47/2024/QH15</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Luật Quy hoạch đô thị và nông thôn số 47/2024/QH15</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26-11-2024</w:t>
            </w:r>
          </w:p>
        </w:tc>
        <w:tc>
          <w:tcPr>
            <w:tcW w:w="0" w:type="auto"/>
          </w:tcPr>
          <w:p w:rsidR="000911F2" w:rsidRDefault="000911F2"/>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178/2025/NĐ-CP</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Quy định chi tiết một số điều của Luật Quy hoạch đô thị và nông thôn.</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01-07-2025</w:t>
            </w:r>
          </w:p>
        </w:tc>
        <w:tc>
          <w:tcPr>
            <w:tcW w:w="0" w:type="auto"/>
          </w:tcPr>
          <w:p w:rsidR="000911F2" w:rsidRDefault="000911F2"/>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16/2025/TT-BXD</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 xml:space="preserve">Quy định chi tiết một số điều của Luật Quy hoạch đô thị </w:t>
            </w:r>
            <w:r>
              <w:rPr>
                <w:rFonts w:ascii="Times New Roman" w:eastAsia="Times New Roman" w:hAnsi="Times New Roman" w:cs="Times New Roman"/>
                <w:sz w:val="26"/>
              </w:rPr>
              <w:t>và nông thôn</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30-06-2025</w:t>
            </w:r>
          </w:p>
        </w:tc>
        <w:tc>
          <w:tcPr>
            <w:tcW w:w="0" w:type="auto"/>
          </w:tcPr>
          <w:p w:rsidR="000911F2" w:rsidRDefault="000911F2"/>
        </w:tc>
      </w:tr>
      <w:tr w:rsidR="000911F2">
        <w:tblPrEx>
          <w:tblCellMar>
            <w:top w:w="0" w:type="dxa"/>
            <w:bottom w:w="0" w:type="dxa"/>
          </w:tblCellMar>
        </w:tblPrEx>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72/2025/QH15</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Luật Tổ chức chính quyền địa phương</w:t>
            </w:r>
          </w:p>
        </w:tc>
        <w:tc>
          <w:tcPr>
            <w:tcW w:w="0" w:type="auto"/>
          </w:tcPr>
          <w:p w:rsidR="000911F2" w:rsidRDefault="000911F2"/>
          <w:p w:rsidR="000911F2" w:rsidRDefault="00067932">
            <w:pPr>
              <w:spacing w:after="0" w:line="276" w:lineRule="auto"/>
            </w:pPr>
            <w:r>
              <w:rPr>
                <w:rFonts w:ascii="Times New Roman" w:eastAsia="Times New Roman" w:hAnsi="Times New Roman" w:cs="Times New Roman"/>
                <w:sz w:val="26"/>
              </w:rPr>
              <w:t>16-06-2025</w:t>
            </w:r>
          </w:p>
        </w:tc>
        <w:tc>
          <w:tcPr>
            <w:tcW w:w="0" w:type="auto"/>
          </w:tcPr>
          <w:p w:rsidR="000911F2" w:rsidRDefault="000911F2"/>
        </w:tc>
      </w:tr>
    </w:tbl>
    <w:p w:rsidR="000911F2" w:rsidRDefault="0006793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rsidR="000911F2" w:rsidRDefault="0006793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911F2" w:rsidRDefault="0006793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911F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911F2"/>
    <w:rsid w:val="00067932"/>
    <w:rsid w:val="000911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41A73D-ED86-46ED-AD78-DAD7ED86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5290</Characters>
  <Application>Microsoft Office Word</Application>
  <DocSecurity>0</DocSecurity>
  <Lines>44</Lines>
  <Paragraphs>12</Paragraphs>
  <ScaleCrop>false</ScaleCrop>
  <Company>Microsoft</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